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Default="001263BC" w:rsidP="001263BC">
      <w:pPr>
        <w:jc w:val="center"/>
        <w:rPr>
          <w:b/>
          <w:color w:val="0000CC"/>
        </w:rPr>
      </w:pPr>
      <w:r w:rsidRPr="001263BC">
        <w:rPr>
          <w:b/>
          <w:color w:val="0000CC"/>
        </w:rPr>
        <w:t>Senate Rules and Elections Committee</w:t>
      </w:r>
    </w:p>
    <w:p w:rsidR="001263BC" w:rsidRDefault="001263BC" w:rsidP="001263BC">
      <w:pPr>
        <w:jc w:val="center"/>
        <w:rPr>
          <w:b/>
          <w:color w:val="0000CC"/>
        </w:rPr>
      </w:pPr>
    </w:p>
    <w:p w:rsidR="001263BC" w:rsidRDefault="001263BC" w:rsidP="001263BC">
      <w:pPr>
        <w:jc w:val="center"/>
        <w:rPr>
          <w:b/>
          <w:color w:val="0000CC"/>
        </w:rPr>
      </w:pPr>
      <w:r>
        <w:rPr>
          <w:b/>
          <w:color w:val="0000CC"/>
        </w:rPr>
        <w:t xml:space="preserve">January </w:t>
      </w:r>
      <w:r w:rsidR="000D2CC9">
        <w:rPr>
          <w:b/>
          <w:color w:val="0000CC"/>
        </w:rPr>
        <w:t>18</w:t>
      </w:r>
      <w:r>
        <w:rPr>
          <w:b/>
          <w:color w:val="0000CC"/>
        </w:rPr>
        <w:t>, 2012</w:t>
      </w:r>
    </w:p>
    <w:p w:rsidR="001263BC" w:rsidRDefault="001263BC" w:rsidP="001263BC">
      <w:pPr>
        <w:jc w:val="center"/>
        <w:rPr>
          <w:b/>
          <w:color w:val="0000CC"/>
        </w:rPr>
      </w:pPr>
    </w:p>
    <w:p w:rsidR="001263BC" w:rsidRDefault="001263BC" w:rsidP="001263BC">
      <w:pPr>
        <w:jc w:val="center"/>
        <w:rPr>
          <w:b/>
          <w:color w:val="0000CC"/>
        </w:rPr>
      </w:pPr>
      <w:r>
        <w:rPr>
          <w:b/>
          <w:color w:val="0000CC"/>
        </w:rPr>
        <w:t xml:space="preserve">Jones (Chair), </w:t>
      </w:r>
      <w:proofErr w:type="spellStart"/>
      <w:r>
        <w:rPr>
          <w:b/>
          <w:color w:val="0000CC"/>
        </w:rPr>
        <w:t>Brion</w:t>
      </w:r>
      <w:proofErr w:type="spellEnd"/>
      <w:r>
        <w:rPr>
          <w:b/>
          <w:color w:val="0000CC"/>
        </w:rPr>
        <w:t xml:space="preserve">, Blonder, Grossman, </w:t>
      </w:r>
      <w:proofErr w:type="spellStart"/>
      <w:r>
        <w:rPr>
          <w:b/>
          <w:color w:val="0000CC"/>
        </w:rPr>
        <w:t>Pienkowski</w:t>
      </w:r>
      <w:proofErr w:type="spellEnd"/>
      <w:r>
        <w:rPr>
          <w:b/>
          <w:color w:val="0000CC"/>
        </w:rPr>
        <w:t>, Wood</w:t>
      </w:r>
      <w:r w:rsidR="000D2CC9">
        <w:rPr>
          <w:b/>
          <w:color w:val="0000CC"/>
        </w:rPr>
        <w:t xml:space="preserve"> </w:t>
      </w:r>
    </w:p>
    <w:p w:rsidR="001263BC" w:rsidRDefault="001263BC">
      <w:pPr>
        <w:rPr>
          <w:b/>
          <w:color w:val="0000CC"/>
        </w:rPr>
      </w:pPr>
    </w:p>
    <w:p w:rsidR="001263BC" w:rsidRDefault="001263BC">
      <w:pPr>
        <w:rPr>
          <w:b/>
          <w:color w:val="0000CC"/>
        </w:rPr>
      </w:pPr>
      <w:r>
        <w:rPr>
          <w:b/>
          <w:color w:val="0000CC"/>
        </w:rPr>
        <w:t>The Senate Rules and Elections Committee addressed the following matters:</w:t>
      </w:r>
    </w:p>
    <w:p w:rsidR="001263BC" w:rsidRDefault="001263BC">
      <w:pPr>
        <w:rPr>
          <w:b/>
          <w:color w:val="0000CC"/>
        </w:rPr>
      </w:pPr>
    </w:p>
    <w:p w:rsidR="001263BC" w:rsidRDefault="001263BC">
      <w:pPr>
        <w:rPr>
          <w:b/>
          <w:color w:val="0000CC"/>
        </w:rPr>
      </w:pPr>
      <w:r>
        <w:rPr>
          <w:b/>
          <w:color w:val="0000CC"/>
        </w:rPr>
        <w:t xml:space="preserve">1. </w:t>
      </w:r>
      <w:r w:rsidR="000D2CC9">
        <w:rPr>
          <w:b/>
          <w:color w:val="0000CC"/>
        </w:rPr>
        <w:t>Much discussion transpired concerning an allegation about the assignment of teaching made to a University employee by a college administration.</w:t>
      </w:r>
    </w:p>
    <w:p w:rsidR="000D2CC9" w:rsidRDefault="000D2CC9">
      <w:pPr>
        <w:rPr>
          <w:b/>
          <w:color w:val="0000CC"/>
        </w:rPr>
      </w:pPr>
    </w:p>
    <w:p w:rsidR="00777CED" w:rsidRDefault="000D2CC9" w:rsidP="000D2CC9">
      <w:pPr>
        <w:rPr>
          <w:b/>
          <w:color w:val="0000CC"/>
        </w:rPr>
      </w:pPr>
      <w:r>
        <w:rPr>
          <w:b/>
          <w:color w:val="0000CC"/>
        </w:rPr>
        <w:t>2. Jones discussed the narrative proposal that had been received concerning dual credit partnership with secondary schools.  The SREC decided that Jones should request the proponent to draft what revising language was being proposed for the various different parts of the Senate Rules to effectuate the new educational policy were it to become adopted by the University Senate.</w:t>
      </w:r>
    </w:p>
    <w:p w:rsidR="000D2CC9" w:rsidRDefault="000D2CC9" w:rsidP="000D2CC9">
      <w:pPr>
        <w:rPr>
          <w:b/>
          <w:color w:val="0000CC"/>
        </w:rPr>
      </w:pPr>
    </w:p>
    <w:p w:rsidR="000D2CC9" w:rsidRPr="001263BC" w:rsidRDefault="000D2CC9" w:rsidP="000D2CC9">
      <w:pPr>
        <w:rPr>
          <w:b/>
          <w:color w:val="0000CC"/>
        </w:rPr>
      </w:pPr>
      <w:r>
        <w:rPr>
          <w:b/>
          <w:color w:val="0000CC"/>
        </w:rPr>
        <w:t>3. Jones reviewed the communication he had received from Jeannine Blackwell again stressing the need for the University Senate Rules to have a statement of philosophy on the relative rigor of progressively higher levels of University courses and degrees, so as to satisfy a SACS requirement; and that the Senate Rules would need to clearly delegate the responsibility to the college level faculty for their degree proposals to describe how</w:t>
      </w:r>
      <w:r w:rsidR="001E7837">
        <w:rPr>
          <w:b/>
          <w:color w:val="0000CC"/>
        </w:rPr>
        <w:t xml:space="preserve"> their higher level degrees (e.g., undergraduate vs. graduate) show increasing complexity in terms of learning outcomes, e.g., with a curricular map that shows in which courses are particular outcomes inculcated; that the Senate Academic Programs Committee is to be clearly charged with ensuring that proposals from the colleges contain this information.  The SREC decided that the University Senate Council should be asked by the SREC with tasking an appropriate University Senate body with drafting the above mentioned statement of educational philosophy.</w:t>
      </w:r>
    </w:p>
    <w:sectPr w:rsidR="000D2CC9" w:rsidRPr="001263BC"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3BC"/>
    <w:rsid w:val="00051874"/>
    <w:rsid w:val="000D2CC9"/>
    <w:rsid w:val="001263BC"/>
    <w:rsid w:val="001E7837"/>
    <w:rsid w:val="0050168B"/>
    <w:rsid w:val="0050697F"/>
    <w:rsid w:val="00777CED"/>
    <w:rsid w:val="008E3708"/>
    <w:rsid w:val="00A66CEE"/>
    <w:rsid w:val="00C12DD4"/>
    <w:rsid w:val="00E75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2</cp:revision>
  <dcterms:created xsi:type="dcterms:W3CDTF">2012-02-01T03:10:00Z</dcterms:created>
  <dcterms:modified xsi:type="dcterms:W3CDTF">2012-02-01T03:10:00Z</dcterms:modified>
</cp:coreProperties>
</file>