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A13" w:rsidRPr="00D86A13" w:rsidRDefault="00D86A13" w:rsidP="00D86A13">
      <w:pPr>
        <w:spacing w:after="0" w:line="240" w:lineRule="auto"/>
        <w:jc w:val="center"/>
        <w:rPr>
          <w:rFonts w:ascii="Tahoma" w:eastAsia="Times New Roman" w:hAnsi="Tahoma" w:cs="Tahoma"/>
          <w:color w:val="000000"/>
          <w:sz w:val="20"/>
          <w:szCs w:val="20"/>
        </w:rPr>
      </w:pPr>
      <w:r w:rsidRPr="00D86A13">
        <w:rPr>
          <w:rFonts w:ascii="Calibri" w:eastAsia="Times New Roman" w:hAnsi="Calibri" w:cs="Tahoma"/>
          <w:b/>
          <w:bCs/>
          <w:color w:val="003399"/>
          <w:sz w:val="28"/>
          <w:szCs w:val="28"/>
        </w:rPr>
        <w:t xml:space="preserve">Senate Rules and Elections Committee </w:t>
      </w:r>
    </w:p>
    <w:p w:rsidR="00D86A13" w:rsidRPr="00D86A13" w:rsidRDefault="00D86A13" w:rsidP="00D86A13">
      <w:pPr>
        <w:spacing w:after="0" w:line="228" w:lineRule="auto"/>
        <w:jc w:val="center"/>
        <w:rPr>
          <w:rFonts w:ascii="Tahoma" w:eastAsia="Times New Roman" w:hAnsi="Tahoma" w:cs="Tahoma"/>
          <w:color w:val="000000"/>
          <w:sz w:val="20"/>
          <w:szCs w:val="20"/>
        </w:rPr>
      </w:pPr>
      <w:r w:rsidRPr="00D86A13">
        <w:rPr>
          <w:rFonts w:ascii="Calibri" w:eastAsia="Times New Roman" w:hAnsi="Calibri" w:cs="Tahoma"/>
          <w:b/>
          <w:bCs/>
          <w:color w:val="003399"/>
          <w:sz w:val="28"/>
          <w:szCs w:val="28"/>
        </w:rPr>
        <w:t>Minutes</w:t>
      </w:r>
    </w:p>
    <w:p w:rsidR="00D86A13" w:rsidRDefault="00D86A13" w:rsidP="00D86A13">
      <w:pPr>
        <w:spacing w:after="0" w:line="228" w:lineRule="auto"/>
        <w:jc w:val="center"/>
        <w:rPr>
          <w:rFonts w:ascii="Calibri" w:eastAsia="Times New Roman" w:hAnsi="Calibri" w:cs="Tahoma"/>
          <w:b/>
          <w:bCs/>
          <w:color w:val="003399"/>
          <w:sz w:val="28"/>
          <w:szCs w:val="28"/>
        </w:rPr>
      </w:pPr>
      <w:r w:rsidRPr="00D86A13">
        <w:rPr>
          <w:rFonts w:ascii="Calibri" w:eastAsia="Times New Roman" w:hAnsi="Calibri" w:cs="Tahoma"/>
          <w:b/>
          <w:bCs/>
          <w:color w:val="003399"/>
          <w:sz w:val="28"/>
          <w:szCs w:val="28"/>
        </w:rPr>
        <w:t>January 14, 2013</w:t>
      </w:r>
    </w:p>
    <w:p w:rsidR="00D86A13" w:rsidRPr="00D86A13" w:rsidRDefault="00D86A13" w:rsidP="00D86A13">
      <w:pPr>
        <w:spacing w:after="0" w:line="228" w:lineRule="auto"/>
        <w:jc w:val="center"/>
        <w:rPr>
          <w:rFonts w:ascii="Tahoma" w:eastAsia="Times New Roman" w:hAnsi="Tahoma" w:cs="Tahoma"/>
          <w:color w:val="000000"/>
          <w:sz w:val="20"/>
          <w:szCs w:val="20"/>
        </w:rPr>
      </w:pPr>
    </w:p>
    <w:p w:rsidR="00D86A13" w:rsidRDefault="00D86A13" w:rsidP="00D86A13">
      <w:pPr>
        <w:spacing w:after="0" w:line="228" w:lineRule="auto"/>
        <w:jc w:val="center"/>
        <w:rPr>
          <w:rFonts w:ascii="Calibri" w:eastAsia="Times New Roman" w:hAnsi="Calibri" w:cs="Tahoma"/>
          <w:color w:val="000000"/>
          <w:sz w:val="24"/>
          <w:szCs w:val="24"/>
        </w:rPr>
      </w:pPr>
      <w:r w:rsidRPr="00D86A13">
        <w:rPr>
          <w:rFonts w:ascii="Calibri" w:eastAsia="Times New Roman" w:hAnsi="Calibri" w:cs="Tahoma"/>
          <w:color w:val="000000"/>
          <w:sz w:val="24"/>
          <w:szCs w:val="24"/>
        </w:rPr>
        <w:t xml:space="preserve">Davy Jones (Chair), Gail </w:t>
      </w:r>
      <w:proofErr w:type="spellStart"/>
      <w:r w:rsidRPr="00D86A13">
        <w:rPr>
          <w:rFonts w:ascii="Calibri" w:eastAsia="Times New Roman" w:hAnsi="Calibri" w:cs="Tahoma"/>
          <w:color w:val="000000"/>
          <w:sz w:val="24"/>
          <w:szCs w:val="24"/>
        </w:rPr>
        <w:t>Brion</w:t>
      </w:r>
      <w:proofErr w:type="spellEnd"/>
      <w:r w:rsidRPr="00D86A13">
        <w:rPr>
          <w:rFonts w:ascii="Calibri" w:eastAsia="Times New Roman" w:hAnsi="Calibri" w:cs="Tahoma"/>
          <w:color w:val="000000"/>
          <w:sz w:val="24"/>
          <w:szCs w:val="24"/>
        </w:rPr>
        <w:t xml:space="preserve">, Robert Grossman, David </w:t>
      </w:r>
      <w:proofErr w:type="spellStart"/>
      <w:r w:rsidRPr="00D86A13">
        <w:rPr>
          <w:rFonts w:ascii="Calibri" w:eastAsia="Times New Roman" w:hAnsi="Calibri" w:cs="Tahoma"/>
          <w:color w:val="000000"/>
          <w:sz w:val="24"/>
          <w:szCs w:val="24"/>
        </w:rPr>
        <w:t>Pienkowski</w:t>
      </w:r>
      <w:proofErr w:type="spellEnd"/>
      <w:r w:rsidRPr="00D86A13">
        <w:rPr>
          <w:rFonts w:ascii="Calibri" w:eastAsia="Times New Roman" w:hAnsi="Calibri" w:cs="Tahoma"/>
          <w:color w:val="000000"/>
          <w:sz w:val="24"/>
          <w:szCs w:val="24"/>
        </w:rPr>
        <w:t>, Connie Wood</w:t>
      </w:r>
    </w:p>
    <w:p w:rsidR="00D86A13" w:rsidRPr="00D86A13" w:rsidRDefault="00D86A13" w:rsidP="00D86A13">
      <w:pPr>
        <w:spacing w:after="0" w:line="228" w:lineRule="auto"/>
        <w:jc w:val="center"/>
        <w:rPr>
          <w:rFonts w:ascii="Tahoma" w:eastAsia="Times New Roman" w:hAnsi="Tahoma" w:cs="Tahoma"/>
          <w:color w:val="000000"/>
          <w:sz w:val="20"/>
          <w:szCs w:val="20"/>
        </w:rPr>
      </w:pPr>
    </w:p>
    <w:p w:rsidR="00D86A13" w:rsidRPr="00D86A13" w:rsidRDefault="00D86A13" w:rsidP="00D86A13">
      <w:pPr>
        <w:spacing w:after="0" w:line="228" w:lineRule="auto"/>
        <w:rPr>
          <w:rFonts w:ascii="Calibri" w:eastAsia="Times New Roman" w:hAnsi="Calibri" w:cs="Tahoma"/>
          <w:b/>
          <w:bCs/>
          <w:color w:val="003399"/>
          <w:spacing w:val="-4"/>
          <w:sz w:val="24"/>
          <w:szCs w:val="24"/>
        </w:rPr>
      </w:pPr>
      <w:r w:rsidRPr="00D86A13">
        <w:rPr>
          <w:rFonts w:ascii="Calibri" w:eastAsia="Times New Roman" w:hAnsi="Calibri" w:cs="Tahoma"/>
          <w:b/>
          <w:bCs/>
          <w:color w:val="003399"/>
          <w:spacing w:val="-4"/>
          <w:sz w:val="24"/>
          <w:szCs w:val="24"/>
        </w:rPr>
        <w:t>1. Senate Rules re: Transfer of an Intact Graduate Degree Program to a Different Educational Unit</w:t>
      </w:r>
    </w:p>
    <w:p w:rsidR="00D86A13" w:rsidRPr="00D86A13" w:rsidRDefault="00D86A13" w:rsidP="00D86A13">
      <w:pPr>
        <w:spacing w:after="0" w:line="228" w:lineRule="auto"/>
        <w:rPr>
          <w:rFonts w:ascii="Tahoma" w:eastAsia="Times New Roman" w:hAnsi="Tahoma" w:cs="Tahoma"/>
          <w:color w:val="000000"/>
          <w:sz w:val="20"/>
          <w:szCs w:val="20"/>
        </w:rPr>
      </w:pPr>
    </w:p>
    <w:p w:rsidR="00D86A13" w:rsidRDefault="00D86A13" w:rsidP="00D86A13">
      <w:pPr>
        <w:spacing w:after="0" w:line="228" w:lineRule="auto"/>
        <w:rPr>
          <w:rFonts w:ascii="Calibri" w:eastAsia="Times New Roman" w:hAnsi="Calibri" w:cs="Tahoma"/>
          <w:b/>
          <w:bCs/>
          <w:color w:val="003399"/>
          <w:sz w:val="24"/>
          <w:szCs w:val="24"/>
        </w:rPr>
      </w:pPr>
      <w:r w:rsidRPr="00D86A13">
        <w:rPr>
          <w:rFonts w:ascii="Calibri" w:eastAsia="Times New Roman" w:hAnsi="Calibri" w:cs="Tahoma"/>
          <w:b/>
          <w:bCs/>
          <w:color w:val="003399"/>
          <w:sz w:val="24"/>
          <w:szCs w:val="24"/>
        </w:rPr>
        <w:t xml:space="preserve">The SREC examined how the </w:t>
      </w:r>
      <w:proofErr w:type="gramStart"/>
      <w:r w:rsidRPr="00D86A13">
        <w:rPr>
          <w:rFonts w:ascii="Calibri" w:eastAsia="Times New Roman" w:hAnsi="Calibri" w:cs="Tahoma"/>
          <w:b/>
          <w:bCs/>
          <w:color w:val="003399"/>
          <w:sz w:val="24"/>
          <w:szCs w:val="24"/>
        </w:rPr>
        <w:t>provision of the Senate Rules apply</w:t>
      </w:r>
      <w:proofErr w:type="gramEnd"/>
      <w:r w:rsidRPr="00D86A13">
        <w:rPr>
          <w:rFonts w:ascii="Calibri" w:eastAsia="Times New Roman" w:hAnsi="Calibri" w:cs="Tahoma"/>
          <w:b/>
          <w:bCs/>
          <w:color w:val="003399"/>
          <w:sz w:val="24"/>
          <w:szCs w:val="24"/>
        </w:rPr>
        <w:t xml:space="preserve"> to the above situation, with respect to the question of the prefix to the courses that are being transferred with the degree to the new educational unit. The SREC noted that SR 3.3.1.A states</w:t>
      </w:r>
    </w:p>
    <w:p w:rsidR="00D86A13" w:rsidRPr="00D86A13" w:rsidRDefault="00D86A13" w:rsidP="00D86A13">
      <w:pPr>
        <w:spacing w:after="0" w:line="228" w:lineRule="auto"/>
        <w:rPr>
          <w:rFonts w:ascii="Tahoma" w:eastAsia="Times New Roman" w:hAnsi="Tahoma" w:cs="Tahoma"/>
          <w:color w:val="000000"/>
          <w:sz w:val="20"/>
          <w:szCs w:val="20"/>
        </w:rPr>
      </w:pPr>
    </w:p>
    <w:p w:rsidR="00D86A13" w:rsidRDefault="00D86A13" w:rsidP="00D86A13">
      <w:pPr>
        <w:spacing w:after="0" w:line="228" w:lineRule="auto"/>
        <w:rPr>
          <w:rFonts w:ascii="Calibri" w:eastAsia="Times New Roman" w:hAnsi="Calibri" w:cs="Tahoma"/>
          <w:color w:val="000000"/>
          <w:sz w:val="24"/>
          <w:szCs w:val="24"/>
        </w:rPr>
      </w:pPr>
      <w:r w:rsidRPr="00D86A13">
        <w:rPr>
          <w:rFonts w:ascii="Calibri" w:eastAsia="Times New Roman" w:hAnsi="Calibri" w:cs="Tahoma"/>
          <w:color w:val="000000"/>
          <w:sz w:val="24"/>
          <w:szCs w:val="24"/>
        </w:rPr>
        <w:t>“If changes to a course are being proposed as a part of a new academic program or change to an academic program, then those course changes shall be incorporated into the proposal for acade</w:t>
      </w:r>
      <w:bookmarkStart w:id="0" w:name="_GoBack"/>
      <w:bookmarkEnd w:id="0"/>
      <w:r w:rsidRPr="00D86A13">
        <w:rPr>
          <w:rFonts w:ascii="Calibri" w:eastAsia="Times New Roman" w:hAnsi="Calibri" w:cs="Tahoma"/>
          <w:color w:val="000000"/>
          <w:sz w:val="24"/>
          <w:szCs w:val="24"/>
        </w:rPr>
        <w:t xml:space="preserve">mic program change that is processed pursuant to SR 3.2.” </w:t>
      </w:r>
    </w:p>
    <w:p w:rsidR="00D86A13" w:rsidRPr="00D86A13" w:rsidRDefault="00D86A13" w:rsidP="00D86A13">
      <w:pPr>
        <w:spacing w:after="0" w:line="228" w:lineRule="auto"/>
        <w:rPr>
          <w:rFonts w:ascii="Tahoma" w:eastAsia="Times New Roman" w:hAnsi="Tahoma" w:cs="Tahoma"/>
          <w:color w:val="000000"/>
          <w:sz w:val="20"/>
          <w:szCs w:val="20"/>
        </w:rPr>
      </w:pPr>
    </w:p>
    <w:p w:rsidR="00D86A13" w:rsidRDefault="00D86A13" w:rsidP="00D86A13">
      <w:pPr>
        <w:spacing w:after="0" w:line="228" w:lineRule="auto"/>
        <w:rPr>
          <w:rFonts w:ascii="Calibri" w:eastAsia="Times New Roman" w:hAnsi="Calibri" w:cs="Tahoma"/>
          <w:b/>
          <w:bCs/>
          <w:color w:val="003399"/>
          <w:sz w:val="24"/>
          <w:szCs w:val="24"/>
        </w:rPr>
      </w:pPr>
      <w:r w:rsidRPr="00D86A13">
        <w:rPr>
          <w:rFonts w:ascii="Calibri" w:eastAsia="Times New Roman" w:hAnsi="Calibri" w:cs="Tahoma"/>
          <w:b/>
          <w:bCs/>
          <w:color w:val="003399"/>
          <w:sz w:val="24"/>
          <w:szCs w:val="24"/>
        </w:rPr>
        <w:t xml:space="preserve">The SREC interpreted that the wording is “change </w:t>
      </w:r>
      <w:r w:rsidRPr="00D86A13">
        <w:rPr>
          <w:rFonts w:ascii="Calibri" w:eastAsia="Times New Roman" w:hAnsi="Calibri" w:cs="Tahoma"/>
          <w:b/>
          <w:bCs/>
          <w:color w:val="003399"/>
          <w:sz w:val="24"/>
          <w:szCs w:val="24"/>
          <w:u w:val="single"/>
        </w:rPr>
        <w:t>to</w:t>
      </w:r>
      <w:r w:rsidRPr="00D86A13">
        <w:rPr>
          <w:rFonts w:ascii="Calibri" w:eastAsia="Times New Roman" w:hAnsi="Calibri" w:cs="Tahoma"/>
          <w:b/>
          <w:bCs/>
          <w:color w:val="003399"/>
          <w:sz w:val="24"/>
          <w:szCs w:val="24"/>
        </w:rPr>
        <w:t xml:space="preserve"> an academic program” and not “change </w:t>
      </w:r>
      <w:r w:rsidRPr="00D86A13">
        <w:rPr>
          <w:rFonts w:ascii="Calibri" w:eastAsia="Times New Roman" w:hAnsi="Calibri" w:cs="Tahoma"/>
          <w:b/>
          <w:bCs/>
          <w:color w:val="003399"/>
          <w:sz w:val="24"/>
          <w:szCs w:val="24"/>
          <w:u w:val="single"/>
        </w:rPr>
        <w:t>in</w:t>
      </w:r>
      <w:r w:rsidRPr="00D86A13">
        <w:rPr>
          <w:rFonts w:ascii="Calibri" w:eastAsia="Times New Roman" w:hAnsi="Calibri" w:cs="Tahoma"/>
          <w:b/>
          <w:bCs/>
          <w:color w:val="003399"/>
          <w:sz w:val="24"/>
          <w:szCs w:val="24"/>
        </w:rPr>
        <w:t xml:space="preserve"> an academic program,” and so the change to academic reporting of an academic program is a kind of change that is captured by the above provision. That is, in the case of change in academic reporting of a degree program, it is not necessary to process individually one-by-one the ownership of each course of the program from the ‘old owner’ to the ‘new owner.’ Rather, the change in ownership can be acted upon ‘in bulk’ as a part of the process to move the degree to the different educational unit. In addition, the SREC interpreted</w:t>
      </w:r>
    </w:p>
    <w:p w:rsidR="00D86A13" w:rsidRPr="00D86A13" w:rsidRDefault="00D86A13" w:rsidP="00D86A13">
      <w:pPr>
        <w:spacing w:after="0" w:line="228" w:lineRule="auto"/>
        <w:rPr>
          <w:rFonts w:ascii="Tahoma" w:eastAsia="Times New Roman" w:hAnsi="Tahoma" w:cs="Tahoma"/>
          <w:color w:val="000000"/>
          <w:sz w:val="20"/>
          <w:szCs w:val="20"/>
        </w:rPr>
      </w:pPr>
    </w:p>
    <w:p w:rsidR="00D86A13" w:rsidRDefault="00D86A13" w:rsidP="00D86A13">
      <w:pPr>
        <w:spacing w:after="0" w:line="228" w:lineRule="auto"/>
        <w:rPr>
          <w:rFonts w:ascii="Calibri" w:eastAsia="Times New Roman" w:hAnsi="Calibri" w:cs="Tahoma"/>
          <w:color w:val="000000"/>
          <w:sz w:val="24"/>
          <w:szCs w:val="24"/>
        </w:rPr>
      </w:pPr>
      <w:r w:rsidRPr="00D86A13">
        <w:rPr>
          <w:rFonts w:ascii="Calibri" w:eastAsia="Times New Roman" w:hAnsi="Calibri" w:cs="Tahoma"/>
          <w:color w:val="000000"/>
          <w:sz w:val="24"/>
          <w:szCs w:val="24"/>
        </w:rPr>
        <w:t xml:space="preserve">*When a degree program is being transferred from one educational unit to a different educational unit, the prefix to the courses being transferred with the degree may </w:t>
      </w:r>
      <w:proofErr w:type="spellStart"/>
      <w:r w:rsidRPr="00D86A13">
        <w:rPr>
          <w:rFonts w:ascii="Calibri" w:eastAsia="Times New Roman" w:hAnsi="Calibri" w:cs="Tahoma"/>
          <w:color w:val="000000"/>
          <w:sz w:val="24"/>
          <w:szCs w:val="24"/>
        </w:rPr>
        <w:t>changed</w:t>
      </w:r>
      <w:proofErr w:type="spellEnd"/>
      <w:r w:rsidRPr="00D86A13">
        <w:rPr>
          <w:rFonts w:ascii="Calibri" w:eastAsia="Times New Roman" w:hAnsi="Calibri" w:cs="Tahoma"/>
          <w:color w:val="000000"/>
          <w:sz w:val="24"/>
          <w:szCs w:val="24"/>
        </w:rPr>
        <w:t xml:space="preserve"> as a minor change; however, it is not necessary to change the course prefixes in that situation. [SREC 01/14/13]</w:t>
      </w:r>
    </w:p>
    <w:p w:rsidR="00D86A13" w:rsidRPr="00D86A13" w:rsidRDefault="00D86A13" w:rsidP="00D86A13">
      <w:pPr>
        <w:spacing w:after="0" w:line="228" w:lineRule="auto"/>
        <w:rPr>
          <w:rFonts w:ascii="Tahoma" w:eastAsia="Times New Roman" w:hAnsi="Tahoma" w:cs="Tahoma"/>
          <w:color w:val="000000"/>
          <w:sz w:val="20"/>
          <w:szCs w:val="20"/>
        </w:rPr>
      </w:pPr>
    </w:p>
    <w:p w:rsidR="00D86A13" w:rsidRDefault="00D86A13" w:rsidP="00D86A13">
      <w:pPr>
        <w:spacing w:after="0" w:line="228" w:lineRule="auto"/>
        <w:rPr>
          <w:rFonts w:ascii="Calibri" w:eastAsia="Times New Roman" w:hAnsi="Calibri" w:cs="Tahoma"/>
          <w:b/>
          <w:bCs/>
          <w:color w:val="003399"/>
          <w:sz w:val="24"/>
          <w:szCs w:val="24"/>
        </w:rPr>
      </w:pPr>
      <w:r w:rsidRPr="00D86A13">
        <w:rPr>
          <w:rFonts w:ascii="Calibri" w:eastAsia="Times New Roman" w:hAnsi="Calibri" w:cs="Tahoma"/>
          <w:b/>
          <w:bCs/>
          <w:color w:val="003399"/>
          <w:sz w:val="24"/>
          <w:szCs w:val="24"/>
        </w:rPr>
        <w:t xml:space="preserve">2. Admission to </w:t>
      </w:r>
      <w:proofErr w:type="spellStart"/>
      <w:r w:rsidRPr="00D86A13">
        <w:rPr>
          <w:rFonts w:ascii="Calibri" w:eastAsia="Times New Roman" w:hAnsi="Calibri" w:cs="Tahoma"/>
          <w:b/>
          <w:bCs/>
          <w:color w:val="003399"/>
          <w:sz w:val="24"/>
          <w:szCs w:val="24"/>
        </w:rPr>
        <w:t>PharmD</w:t>
      </w:r>
      <w:proofErr w:type="spellEnd"/>
      <w:r w:rsidRPr="00D86A13">
        <w:rPr>
          <w:rFonts w:ascii="Calibri" w:eastAsia="Times New Roman" w:hAnsi="Calibri" w:cs="Tahoma"/>
          <w:b/>
          <w:bCs/>
          <w:color w:val="003399"/>
          <w:sz w:val="24"/>
          <w:szCs w:val="24"/>
        </w:rPr>
        <w:t>.</w:t>
      </w:r>
    </w:p>
    <w:p w:rsidR="00D86A13" w:rsidRPr="00D86A13" w:rsidRDefault="00D86A13" w:rsidP="00D86A13">
      <w:pPr>
        <w:spacing w:after="0" w:line="228" w:lineRule="auto"/>
        <w:rPr>
          <w:rFonts w:ascii="Tahoma" w:eastAsia="Times New Roman" w:hAnsi="Tahoma" w:cs="Tahoma"/>
          <w:color w:val="000000"/>
          <w:sz w:val="20"/>
          <w:szCs w:val="20"/>
        </w:rPr>
      </w:pPr>
    </w:p>
    <w:p w:rsidR="00D86A13" w:rsidRDefault="00D86A13" w:rsidP="00D86A13">
      <w:pPr>
        <w:spacing w:after="0" w:line="228" w:lineRule="auto"/>
        <w:rPr>
          <w:rFonts w:ascii="Calibri" w:eastAsia="Times New Roman" w:hAnsi="Calibri" w:cs="Tahoma"/>
          <w:b/>
          <w:bCs/>
          <w:color w:val="003399"/>
          <w:sz w:val="24"/>
          <w:szCs w:val="24"/>
        </w:rPr>
      </w:pPr>
      <w:r w:rsidRPr="00D86A13">
        <w:rPr>
          <w:rFonts w:ascii="Calibri" w:eastAsia="Times New Roman" w:hAnsi="Calibri" w:cs="Tahoma"/>
          <w:b/>
          <w:bCs/>
          <w:color w:val="003399"/>
          <w:sz w:val="24"/>
          <w:szCs w:val="24"/>
        </w:rPr>
        <w:t xml:space="preserve">The SREC discussed reports that the </w:t>
      </w:r>
      <w:proofErr w:type="spellStart"/>
      <w:r w:rsidRPr="00D86A13">
        <w:rPr>
          <w:rFonts w:ascii="Calibri" w:eastAsia="Times New Roman" w:hAnsi="Calibri" w:cs="Tahoma"/>
          <w:b/>
          <w:bCs/>
          <w:color w:val="003399"/>
          <w:sz w:val="24"/>
          <w:szCs w:val="24"/>
        </w:rPr>
        <w:t>PharmD</w:t>
      </w:r>
      <w:proofErr w:type="spellEnd"/>
      <w:r w:rsidRPr="00D86A13">
        <w:rPr>
          <w:rFonts w:ascii="Calibri" w:eastAsia="Times New Roman" w:hAnsi="Calibri" w:cs="Tahoma"/>
          <w:b/>
          <w:bCs/>
          <w:color w:val="003399"/>
          <w:sz w:val="24"/>
          <w:szCs w:val="24"/>
        </w:rPr>
        <w:t xml:space="preserve">. </w:t>
      </w:r>
      <w:proofErr w:type="gramStart"/>
      <w:r w:rsidRPr="00D86A13">
        <w:rPr>
          <w:rFonts w:ascii="Calibri" w:eastAsia="Times New Roman" w:hAnsi="Calibri" w:cs="Tahoma"/>
          <w:b/>
          <w:bCs/>
          <w:color w:val="003399"/>
          <w:sz w:val="24"/>
          <w:szCs w:val="24"/>
        </w:rPr>
        <w:t>program</w:t>
      </w:r>
      <w:proofErr w:type="gramEnd"/>
      <w:r w:rsidRPr="00D86A13">
        <w:rPr>
          <w:rFonts w:ascii="Calibri" w:eastAsia="Times New Roman" w:hAnsi="Calibri" w:cs="Tahoma"/>
          <w:b/>
          <w:bCs/>
          <w:color w:val="003399"/>
          <w:sz w:val="24"/>
          <w:szCs w:val="24"/>
        </w:rPr>
        <w:t xml:space="preserve"> has admitted undergraduate students who are juniors or seniors in the B.S. in Biology program; i.e., who have not completed the requirements for a B.S. in Biology. The SREC determined that such a practice is not compliant with Senate Rule 4.2.3.2.B, that limits admission to persons with an accredited B.S. in Pharmacy, or who have completed the fourth year requirements of the UK B.S. in Pharmacy. The UK B.S. in Pharmacy was suspended by the University Senate in 1995, with </w:t>
      </w:r>
      <w:proofErr w:type="gramStart"/>
      <w:r w:rsidRPr="00D86A13">
        <w:rPr>
          <w:rFonts w:ascii="Calibri" w:eastAsia="Times New Roman" w:hAnsi="Calibri" w:cs="Tahoma"/>
          <w:b/>
          <w:bCs/>
          <w:color w:val="003399"/>
          <w:sz w:val="24"/>
          <w:szCs w:val="24"/>
        </w:rPr>
        <w:t>an intent</w:t>
      </w:r>
      <w:proofErr w:type="gramEnd"/>
      <w:r w:rsidRPr="00D86A13">
        <w:rPr>
          <w:rFonts w:ascii="Calibri" w:eastAsia="Times New Roman" w:hAnsi="Calibri" w:cs="Tahoma"/>
          <w:b/>
          <w:bCs/>
          <w:color w:val="003399"/>
          <w:sz w:val="24"/>
          <w:szCs w:val="24"/>
        </w:rPr>
        <w:t xml:space="preserve"> to remain in a state that it could become ‘unsuspended’ (‘reactivated’) if such became </w:t>
      </w:r>
      <w:proofErr w:type="spellStart"/>
      <w:r w:rsidRPr="00D86A13">
        <w:rPr>
          <w:rFonts w:ascii="Calibri" w:eastAsia="Times New Roman" w:hAnsi="Calibri" w:cs="Tahoma"/>
          <w:b/>
          <w:bCs/>
          <w:color w:val="003399"/>
          <w:sz w:val="24"/>
          <w:szCs w:val="24"/>
        </w:rPr>
        <w:t>desireable</w:t>
      </w:r>
      <w:proofErr w:type="spellEnd"/>
      <w:r w:rsidRPr="00D86A13">
        <w:rPr>
          <w:rFonts w:ascii="Calibri" w:eastAsia="Times New Roman" w:hAnsi="Calibri" w:cs="Tahoma"/>
          <w:b/>
          <w:bCs/>
          <w:color w:val="003399"/>
          <w:sz w:val="24"/>
          <w:szCs w:val="24"/>
        </w:rPr>
        <w:t xml:space="preserve"> at some point in the future. However, under CPE policies a degree program is considered for CPE purpose to be ‘closed’ (i.e., permanent ending of admissions) if it has no admissions for longer than five year. Hence, the B.S. in Pharmacy is ‘closed’ and no admissions could be possible without processing the B.S. in Pharmacy as a ‘new’ program through the University Senate, Board of Trustees and CPE. The SREC directed that the SREC Chair inform the College of Pharmacy that (1) under current Senate Rules it cannot admit to the </w:t>
      </w:r>
      <w:proofErr w:type="spellStart"/>
      <w:r w:rsidRPr="00D86A13">
        <w:rPr>
          <w:rFonts w:ascii="Calibri" w:eastAsia="Times New Roman" w:hAnsi="Calibri" w:cs="Tahoma"/>
          <w:b/>
          <w:bCs/>
          <w:color w:val="003399"/>
          <w:sz w:val="24"/>
          <w:szCs w:val="24"/>
        </w:rPr>
        <w:t>PharmD</w:t>
      </w:r>
      <w:proofErr w:type="spellEnd"/>
      <w:r w:rsidRPr="00D86A13">
        <w:rPr>
          <w:rFonts w:ascii="Calibri" w:eastAsia="Times New Roman" w:hAnsi="Calibri" w:cs="Tahoma"/>
          <w:b/>
          <w:bCs/>
          <w:color w:val="003399"/>
          <w:sz w:val="24"/>
          <w:szCs w:val="24"/>
        </w:rPr>
        <w:t xml:space="preserve">. </w:t>
      </w:r>
      <w:proofErr w:type="gramStart"/>
      <w:r w:rsidRPr="00D86A13">
        <w:rPr>
          <w:rFonts w:ascii="Calibri" w:eastAsia="Times New Roman" w:hAnsi="Calibri" w:cs="Tahoma"/>
          <w:b/>
          <w:bCs/>
          <w:color w:val="003399"/>
          <w:sz w:val="24"/>
          <w:szCs w:val="24"/>
        </w:rPr>
        <w:t>program</w:t>
      </w:r>
      <w:proofErr w:type="gramEnd"/>
      <w:r w:rsidRPr="00D86A13">
        <w:rPr>
          <w:rFonts w:ascii="Calibri" w:eastAsia="Times New Roman" w:hAnsi="Calibri" w:cs="Tahoma"/>
          <w:b/>
          <w:bCs/>
          <w:color w:val="003399"/>
          <w:sz w:val="24"/>
          <w:szCs w:val="24"/>
        </w:rPr>
        <w:t xml:space="preserve"> anyone who has other than a B.S. in Pharmacy, and (2) if the college would like admissions to the </w:t>
      </w:r>
      <w:proofErr w:type="spellStart"/>
      <w:r w:rsidRPr="00D86A13">
        <w:rPr>
          <w:rFonts w:ascii="Calibri" w:eastAsia="Times New Roman" w:hAnsi="Calibri" w:cs="Tahoma"/>
          <w:b/>
          <w:bCs/>
          <w:color w:val="003399"/>
          <w:sz w:val="24"/>
          <w:szCs w:val="24"/>
        </w:rPr>
        <w:t>PharmD</w:t>
      </w:r>
      <w:proofErr w:type="spellEnd"/>
      <w:r w:rsidRPr="00D86A13">
        <w:rPr>
          <w:rFonts w:ascii="Calibri" w:eastAsia="Times New Roman" w:hAnsi="Calibri" w:cs="Tahoma"/>
          <w:b/>
          <w:bCs/>
          <w:color w:val="003399"/>
          <w:sz w:val="24"/>
          <w:szCs w:val="24"/>
        </w:rPr>
        <w:t xml:space="preserve">. to be some other policy, the College ought process </w:t>
      </w:r>
      <w:r w:rsidRPr="00D86A13">
        <w:rPr>
          <w:rFonts w:ascii="Calibri" w:eastAsia="Times New Roman" w:hAnsi="Calibri" w:cs="Tahoma"/>
          <w:b/>
          <w:bCs/>
          <w:color w:val="003399"/>
          <w:sz w:val="24"/>
          <w:szCs w:val="24"/>
        </w:rPr>
        <w:lastRenderedPageBreak/>
        <w:t>through the Senate Rules a proposal to change the Senate Rule on admissions to the PharmD.*</w:t>
      </w:r>
    </w:p>
    <w:p w:rsidR="00D86A13" w:rsidRPr="00D86A13" w:rsidRDefault="00D86A13" w:rsidP="00D86A13">
      <w:pPr>
        <w:spacing w:after="0" w:line="228" w:lineRule="auto"/>
        <w:rPr>
          <w:rFonts w:ascii="Tahoma" w:eastAsia="Times New Roman" w:hAnsi="Tahoma" w:cs="Tahoma"/>
          <w:color w:val="000000"/>
          <w:sz w:val="20"/>
          <w:szCs w:val="20"/>
        </w:rPr>
      </w:pPr>
    </w:p>
    <w:p w:rsidR="00D86A13" w:rsidRDefault="00D86A13" w:rsidP="00D86A13">
      <w:pPr>
        <w:spacing w:after="0" w:line="228" w:lineRule="auto"/>
        <w:rPr>
          <w:rFonts w:ascii="Calibri" w:eastAsia="Times New Roman" w:hAnsi="Calibri" w:cs="Tahoma"/>
          <w:b/>
          <w:bCs/>
          <w:color w:val="003399"/>
          <w:sz w:val="24"/>
          <w:szCs w:val="24"/>
        </w:rPr>
      </w:pPr>
      <w:r w:rsidRPr="00D86A13">
        <w:rPr>
          <w:rFonts w:ascii="Calibri" w:eastAsia="Times New Roman" w:hAnsi="Calibri" w:cs="Tahoma"/>
          <w:b/>
          <w:bCs/>
          <w:color w:val="003399"/>
          <w:sz w:val="24"/>
          <w:szCs w:val="24"/>
        </w:rPr>
        <w:t>3. Senate Rules on UK Core to Replace Old USP Rules</w:t>
      </w:r>
    </w:p>
    <w:p w:rsidR="00D86A13" w:rsidRPr="00D86A13" w:rsidRDefault="00D86A13" w:rsidP="00D86A13">
      <w:pPr>
        <w:spacing w:after="0" w:line="228" w:lineRule="auto"/>
        <w:rPr>
          <w:rFonts w:ascii="Tahoma" w:eastAsia="Times New Roman" w:hAnsi="Tahoma" w:cs="Tahoma"/>
          <w:color w:val="000000"/>
          <w:sz w:val="20"/>
          <w:szCs w:val="20"/>
        </w:rPr>
      </w:pPr>
    </w:p>
    <w:p w:rsidR="00D86A13" w:rsidRPr="00D86A13" w:rsidRDefault="00D86A13" w:rsidP="00D86A13">
      <w:pPr>
        <w:spacing w:after="0" w:line="228" w:lineRule="auto"/>
        <w:rPr>
          <w:rFonts w:ascii="Tahoma" w:eastAsia="Times New Roman" w:hAnsi="Tahoma" w:cs="Tahoma"/>
          <w:color w:val="000000"/>
          <w:sz w:val="20"/>
          <w:szCs w:val="20"/>
        </w:rPr>
      </w:pPr>
      <w:r w:rsidRPr="00D86A13">
        <w:rPr>
          <w:rFonts w:ascii="Calibri" w:eastAsia="Times New Roman" w:hAnsi="Calibri" w:cs="Tahoma"/>
          <w:b/>
          <w:bCs/>
          <w:color w:val="003399"/>
          <w:sz w:val="24"/>
          <w:szCs w:val="24"/>
        </w:rPr>
        <w:t>The SREC edited a proposed draft of new Senate Rules from the UK Core Committee that would update, in part, the Senate Rules concerning the UK Core program.</w:t>
      </w:r>
    </w:p>
    <w:p w:rsidR="00D86A13" w:rsidRPr="00D86A13" w:rsidRDefault="00D86A13" w:rsidP="00D86A13">
      <w:pPr>
        <w:spacing w:after="0" w:line="228" w:lineRule="auto"/>
        <w:rPr>
          <w:rFonts w:ascii="Tahoma" w:eastAsia="Times New Roman" w:hAnsi="Tahoma" w:cs="Tahoma"/>
          <w:color w:val="000000"/>
          <w:sz w:val="20"/>
          <w:szCs w:val="20"/>
        </w:rPr>
      </w:pPr>
      <w:r w:rsidRPr="00D86A13">
        <w:rPr>
          <w:rFonts w:ascii="Calibri" w:eastAsia="Times New Roman" w:hAnsi="Calibri" w:cs="Tahoma"/>
          <w:b/>
          <w:bCs/>
          <w:color w:val="003399"/>
          <w:sz w:val="24"/>
          <w:szCs w:val="24"/>
        </w:rPr>
        <w:t>______________</w:t>
      </w:r>
    </w:p>
    <w:p w:rsidR="00D86A13" w:rsidRPr="00D86A13" w:rsidRDefault="00D86A13" w:rsidP="00D86A13">
      <w:pPr>
        <w:spacing w:after="0" w:line="228" w:lineRule="auto"/>
        <w:rPr>
          <w:rFonts w:ascii="Tahoma" w:eastAsia="Times New Roman" w:hAnsi="Tahoma" w:cs="Tahoma"/>
          <w:color w:val="000000"/>
          <w:sz w:val="20"/>
          <w:szCs w:val="20"/>
        </w:rPr>
      </w:pPr>
      <w:r w:rsidRPr="00D86A13">
        <w:rPr>
          <w:rFonts w:ascii="Calibri" w:eastAsia="Times New Roman" w:hAnsi="Calibri" w:cs="Tahoma"/>
          <w:color w:val="000000"/>
          <w:sz w:val="24"/>
          <w:szCs w:val="24"/>
        </w:rPr>
        <w:t>*Administrative Note: This communication was sent by the SREC Chair to the College of Pharmacy Dean on 01/28/2013</w:t>
      </w:r>
    </w:p>
    <w:p w:rsidR="005667C8" w:rsidRDefault="005667C8"/>
    <w:sectPr w:rsidR="00566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A13"/>
    <w:rsid w:val="0000085B"/>
    <w:rsid w:val="000103E9"/>
    <w:rsid w:val="000153CE"/>
    <w:rsid w:val="0001678F"/>
    <w:rsid w:val="0002071F"/>
    <w:rsid w:val="00021A02"/>
    <w:rsid w:val="00022376"/>
    <w:rsid w:val="000223E8"/>
    <w:rsid w:val="00023AE0"/>
    <w:rsid w:val="00024F0D"/>
    <w:rsid w:val="00026B0C"/>
    <w:rsid w:val="000357A1"/>
    <w:rsid w:val="00035CF4"/>
    <w:rsid w:val="00036565"/>
    <w:rsid w:val="00044061"/>
    <w:rsid w:val="00046773"/>
    <w:rsid w:val="00047325"/>
    <w:rsid w:val="00047E2C"/>
    <w:rsid w:val="000522CB"/>
    <w:rsid w:val="000526A9"/>
    <w:rsid w:val="00053DFF"/>
    <w:rsid w:val="00055369"/>
    <w:rsid w:val="000557C3"/>
    <w:rsid w:val="00066F5E"/>
    <w:rsid w:val="00070910"/>
    <w:rsid w:val="00070EA7"/>
    <w:rsid w:val="000733BE"/>
    <w:rsid w:val="0007517E"/>
    <w:rsid w:val="0008186E"/>
    <w:rsid w:val="00082CD8"/>
    <w:rsid w:val="000863DF"/>
    <w:rsid w:val="000868E7"/>
    <w:rsid w:val="00092AD8"/>
    <w:rsid w:val="00092CE0"/>
    <w:rsid w:val="00094696"/>
    <w:rsid w:val="00095FEC"/>
    <w:rsid w:val="000A0624"/>
    <w:rsid w:val="000A4B32"/>
    <w:rsid w:val="000A79CD"/>
    <w:rsid w:val="000A7EC8"/>
    <w:rsid w:val="000B0417"/>
    <w:rsid w:val="000B1885"/>
    <w:rsid w:val="000B1C53"/>
    <w:rsid w:val="000B3917"/>
    <w:rsid w:val="000B5640"/>
    <w:rsid w:val="000B5A84"/>
    <w:rsid w:val="000C032A"/>
    <w:rsid w:val="000C1A45"/>
    <w:rsid w:val="000C30E4"/>
    <w:rsid w:val="000C33F2"/>
    <w:rsid w:val="000C4187"/>
    <w:rsid w:val="000C4858"/>
    <w:rsid w:val="000D1A7F"/>
    <w:rsid w:val="000D49EB"/>
    <w:rsid w:val="000E04B0"/>
    <w:rsid w:val="000E25D3"/>
    <w:rsid w:val="000E5312"/>
    <w:rsid w:val="000E6831"/>
    <w:rsid w:val="000F0707"/>
    <w:rsid w:val="000F2BF9"/>
    <w:rsid w:val="000F4601"/>
    <w:rsid w:val="000F687D"/>
    <w:rsid w:val="000F6DE1"/>
    <w:rsid w:val="000F7618"/>
    <w:rsid w:val="000F7996"/>
    <w:rsid w:val="00100046"/>
    <w:rsid w:val="00105014"/>
    <w:rsid w:val="001052B3"/>
    <w:rsid w:val="001057BC"/>
    <w:rsid w:val="00106813"/>
    <w:rsid w:val="001069E6"/>
    <w:rsid w:val="001103EF"/>
    <w:rsid w:val="00120F99"/>
    <w:rsid w:val="00121C79"/>
    <w:rsid w:val="0012229F"/>
    <w:rsid w:val="00126EC7"/>
    <w:rsid w:val="00127419"/>
    <w:rsid w:val="001316A8"/>
    <w:rsid w:val="00135CA4"/>
    <w:rsid w:val="00136EAC"/>
    <w:rsid w:val="00137D0D"/>
    <w:rsid w:val="00144E5E"/>
    <w:rsid w:val="00153F48"/>
    <w:rsid w:val="0015575C"/>
    <w:rsid w:val="00162600"/>
    <w:rsid w:val="0016591B"/>
    <w:rsid w:val="0016737A"/>
    <w:rsid w:val="001678F4"/>
    <w:rsid w:val="00171A5B"/>
    <w:rsid w:val="00174D56"/>
    <w:rsid w:val="0018430F"/>
    <w:rsid w:val="00184D43"/>
    <w:rsid w:val="001852AE"/>
    <w:rsid w:val="00191213"/>
    <w:rsid w:val="00191AFF"/>
    <w:rsid w:val="00191C23"/>
    <w:rsid w:val="00191E00"/>
    <w:rsid w:val="001956B3"/>
    <w:rsid w:val="001A2888"/>
    <w:rsid w:val="001B01B4"/>
    <w:rsid w:val="001B3BBF"/>
    <w:rsid w:val="001B3C50"/>
    <w:rsid w:val="001B5E8B"/>
    <w:rsid w:val="001C0B90"/>
    <w:rsid w:val="001C304C"/>
    <w:rsid w:val="001C39A2"/>
    <w:rsid w:val="001C5DD2"/>
    <w:rsid w:val="001D4489"/>
    <w:rsid w:val="001D5108"/>
    <w:rsid w:val="001D7289"/>
    <w:rsid w:val="001E0376"/>
    <w:rsid w:val="001E192E"/>
    <w:rsid w:val="001E31CF"/>
    <w:rsid w:val="001E3E32"/>
    <w:rsid w:val="001E3EB1"/>
    <w:rsid w:val="001E5077"/>
    <w:rsid w:val="001F234C"/>
    <w:rsid w:val="002026E1"/>
    <w:rsid w:val="0020325E"/>
    <w:rsid w:val="00211BDA"/>
    <w:rsid w:val="00211C68"/>
    <w:rsid w:val="00214320"/>
    <w:rsid w:val="002149DB"/>
    <w:rsid w:val="00215DAA"/>
    <w:rsid w:val="00216A50"/>
    <w:rsid w:val="002207F3"/>
    <w:rsid w:val="00220BFA"/>
    <w:rsid w:val="00226189"/>
    <w:rsid w:val="00230531"/>
    <w:rsid w:val="002373B6"/>
    <w:rsid w:val="00243ED4"/>
    <w:rsid w:val="00245EED"/>
    <w:rsid w:val="00255CE6"/>
    <w:rsid w:val="002577B7"/>
    <w:rsid w:val="0026111B"/>
    <w:rsid w:val="00262C83"/>
    <w:rsid w:val="00264EE0"/>
    <w:rsid w:val="002665DD"/>
    <w:rsid w:val="00272C90"/>
    <w:rsid w:val="00273346"/>
    <w:rsid w:val="002733E9"/>
    <w:rsid w:val="002738A1"/>
    <w:rsid w:val="00273C9D"/>
    <w:rsid w:val="00275C0E"/>
    <w:rsid w:val="00275D05"/>
    <w:rsid w:val="00277F6B"/>
    <w:rsid w:val="002862F5"/>
    <w:rsid w:val="0028753C"/>
    <w:rsid w:val="00290CE1"/>
    <w:rsid w:val="00291410"/>
    <w:rsid w:val="00297696"/>
    <w:rsid w:val="002979E7"/>
    <w:rsid w:val="002A5537"/>
    <w:rsid w:val="002A571C"/>
    <w:rsid w:val="002A6628"/>
    <w:rsid w:val="002A70C3"/>
    <w:rsid w:val="002A732D"/>
    <w:rsid w:val="002B29AF"/>
    <w:rsid w:val="002B2AA2"/>
    <w:rsid w:val="002B3AFC"/>
    <w:rsid w:val="002B42EE"/>
    <w:rsid w:val="002B6B7F"/>
    <w:rsid w:val="002C3EC4"/>
    <w:rsid w:val="002C41CB"/>
    <w:rsid w:val="002C7621"/>
    <w:rsid w:val="002C77BF"/>
    <w:rsid w:val="002D1FDE"/>
    <w:rsid w:val="002D4200"/>
    <w:rsid w:val="002D4A10"/>
    <w:rsid w:val="002D4BA1"/>
    <w:rsid w:val="002D5929"/>
    <w:rsid w:val="002D6EBD"/>
    <w:rsid w:val="002D6FA4"/>
    <w:rsid w:val="002E295A"/>
    <w:rsid w:val="002E29C4"/>
    <w:rsid w:val="002E3D6D"/>
    <w:rsid w:val="002E408B"/>
    <w:rsid w:val="002E63A3"/>
    <w:rsid w:val="002F0FA0"/>
    <w:rsid w:val="002F3F31"/>
    <w:rsid w:val="002F5810"/>
    <w:rsid w:val="00303832"/>
    <w:rsid w:val="00306D9C"/>
    <w:rsid w:val="0030757B"/>
    <w:rsid w:val="00310F1C"/>
    <w:rsid w:val="00317F3D"/>
    <w:rsid w:val="00324944"/>
    <w:rsid w:val="00325931"/>
    <w:rsid w:val="0032788F"/>
    <w:rsid w:val="00331A1A"/>
    <w:rsid w:val="00340601"/>
    <w:rsid w:val="00343EE5"/>
    <w:rsid w:val="0034402B"/>
    <w:rsid w:val="003445B4"/>
    <w:rsid w:val="00347DFF"/>
    <w:rsid w:val="0035315D"/>
    <w:rsid w:val="003546F5"/>
    <w:rsid w:val="00355600"/>
    <w:rsid w:val="00363546"/>
    <w:rsid w:val="00363B5F"/>
    <w:rsid w:val="00365DB2"/>
    <w:rsid w:val="0036772F"/>
    <w:rsid w:val="00370A34"/>
    <w:rsid w:val="00371F29"/>
    <w:rsid w:val="00373CB5"/>
    <w:rsid w:val="0037541C"/>
    <w:rsid w:val="00376067"/>
    <w:rsid w:val="00377928"/>
    <w:rsid w:val="00380290"/>
    <w:rsid w:val="00383571"/>
    <w:rsid w:val="00384D96"/>
    <w:rsid w:val="00385908"/>
    <w:rsid w:val="00397BF0"/>
    <w:rsid w:val="003A2DF1"/>
    <w:rsid w:val="003A4C52"/>
    <w:rsid w:val="003A50CB"/>
    <w:rsid w:val="003B41E9"/>
    <w:rsid w:val="003B55A6"/>
    <w:rsid w:val="003B615D"/>
    <w:rsid w:val="003C05D3"/>
    <w:rsid w:val="003C4AA7"/>
    <w:rsid w:val="003C622E"/>
    <w:rsid w:val="003D10E6"/>
    <w:rsid w:val="003D7A9A"/>
    <w:rsid w:val="003E4592"/>
    <w:rsid w:val="003E4BF4"/>
    <w:rsid w:val="003F1507"/>
    <w:rsid w:val="003F5F70"/>
    <w:rsid w:val="004026D4"/>
    <w:rsid w:val="00406AFC"/>
    <w:rsid w:val="004075A7"/>
    <w:rsid w:val="00412804"/>
    <w:rsid w:val="00413928"/>
    <w:rsid w:val="00414021"/>
    <w:rsid w:val="00416EF4"/>
    <w:rsid w:val="0042174D"/>
    <w:rsid w:val="00422C53"/>
    <w:rsid w:val="0042515C"/>
    <w:rsid w:val="00427DE4"/>
    <w:rsid w:val="00431220"/>
    <w:rsid w:val="0043238F"/>
    <w:rsid w:val="004335AB"/>
    <w:rsid w:val="00434918"/>
    <w:rsid w:val="00434AFE"/>
    <w:rsid w:val="00437089"/>
    <w:rsid w:val="004427BD"/>
    <w:rsid w:val="00442F0D"/>
    <w:rsid w:val="00443938"/>
    <w:rsid w:val="00447636"/>
    <w:rsid w:val="00447F88"/>
    <w:rsid w:val="0045091C"/>
    <w:rsid w:val="00452B32"/>
    <w:rsid w:val="00455DCC"/>
    <w:rsid w:val="0046172D"/>
    <w:rsid w:val="004666A9"/>
    <w:rsid w:val="00471DBA"/>
    <w:rsid w:val="004738AF"/>
    <w:rsid w:val="00476B75"/>
    <w:rsid w:val="00476FB8"/>
    <w:rsid w:val="00480DAC"/>
    <w:rsid w:val="00483BB0"/>
    <w:rsid w:val="00492CDB"/>
    <w:rsid w:val="00495C00"/>
    <w:rsid w:val="004A176C"/>
    <w:rsid w:val="004A3B9D"/>
    <w:rsid w:val="004A7E72"/>
    <w:rsid w:val="004B1823"/>
    <w:rsid w:val="004B756D"/>
    <w:rsid w:val="004C12C5"/>
    <w:rsid w:val="004C2900"/>
    <w:rsid w:val="004C4ECB"/>
    <w:rsid w:val="004C51D2"/>
    <w:rsid w:val="004C5301"/>
    <w:rsid w:val="004D3314"/>
    <w:rsid w:val="004D554D"/>
    <w:rsid w:val="004E28F8"/>
    <w:rsid w:val="004E3804"/>
    <w:rsid w:val="004E4EEA"/>
    <w:rsid w:val="004E5CD9"/>
    <w:rsid w:val="004E6B52"/>
    <w:rsid w:val="004F07E2"/>
    <w:rsid w:val="004F0B80"/>
    <w:rsid w:val="004F5C9A"/>
    <w:rsid w:val="004F7847"/>
    <w:rsid w:val="004F795C"/>
    <w:rsid w:val="005008E3"/>
    <w:rsid w:val="005014F6"/>
    <w:rsid w:val="005019BF"/>
    <w:rsid w:val="00502805"/>
    <w:rsid w:val="00506BDC"/>
    <w:rsid w:val="00507A3A"/>
    <w:rsid w:val="0051194E"/>
    <w:rsid w:val="00512DD1"/>
    <w:rsid w:val="00514098"/>
    <w:rsid w:val="00515BC4"/>
    <w:rsid w:val="00522553"/>
    <w:rsid w:val="00522E8F"/>
    <w:rsid w:val="00532492"/>
    <w:rsid w:val="005329A6"/>
    <w:rsid w:val="00534DEF"/>
    <w:rsid w:val="00540440"/>
    <w:rsid w:val="0054222D"/>
    <w:rsid w:val="00542ED5"/>
    <w:rsid w:val="00546F39"/>
    <w:rsid w:val="00550EE0"/>
    <w:rsid w:val="00554FE0"/>
    <w:rsid w:val="00557B77"/>
    <w:rsid w:val="00560232"/>
    <w:rsid w:val="00562B86"/>
    <w:rsid w:val="00565565"/>
    <w:rsid w:val="005667C8"/>
    <w:rsid w:val="00567AAC"/>
    <w:rsid w:val="00570EE9"/>
    <w:rsid w:val="00573978"/>
    <w:rsid w:val="0057565D"/>
    <w:rsid w:val="00576993"/>
    <w:rsid w:val="00580D25"/>
    <w:rsid w:val="005811E1"/>
    <w:rsid w:val="00583EE9"/>
    <w:rsid w:val="00586BA5"/>
    <w:rsid w:val="00587D31"/>
    <w:rsid w:val="00590007"/>
    <w:rsid w:val="00591B56"/>
    <w:rsid w:val="005950D9"/>
    <w:rsid w:val="005A028C"/>
    <w:rsid w:val="005A0F09"/>
    <w:rsid w:val="005A19DC"/>
    <w:rsid w:val="005A78C1"/>
    <w:rsid w:val="005B0D30"/>
    <w:rsid w:val="005B582D"/>
    <w:rsid w:val="005B5C6A"/>
    <w:rsid w:val="005B6BBD"/>
    <w:rsid w:val="005C43FF"/>
    <w:rsid w:val="005C7164"/>
    <w:rsid w:val="005C71ED"/>
    <w:rsid w:val="005D1C20"/>
    <w:rsid w:val="005D41B3"/>
    <w:rsid w:val="005E1B2E"/>
    <w:rsid w:val="005E2D8A"/>
    <w:rsid w:val="005E73A1"/>
    <w:rsid w:val="005E79BD"/>
    <w:rsid w:val="005F31C9"/>
    <w:rsid w:val="005F4D2C"/>
    <w:rsid w:val="005F5A1D"/>
    <w:rsid w:val="005F7E3E"/>
    <w:rsid w:val="00600110"/>
    <w:rsid w:val="006026AD"/>
    <w:rsid w:val="00603277"/>
    <w:rsid w:val="006116A1"/>
    <w:rsid w:val="00611C1A"/>
    <w:rsid w:val="0061305C"/>
    <w:rsid w:val="00615EC1"/>
    <w:rsid w:val="006161C8"/>
    <w:rsid w:val="00617C65"/>
    <w:rsid w:val="00625084"/>
    <w:rsid w:val="00627BEC"/>
    <w:rsid w:val="00630A26"/>
    <w:rsid w:val="0063517A"/>
    <w:rsid w:val="00637745"/>
    <w:rsid w:val="00640297"/>
    <w:rsid w:val="00642145"/>
    <w:rsid w:val="00645220"/>
    <w:rsid w:val="00645709"/>
    <w:rsid w:val="00647E10"/>
    <w:rsid w:val="0065115D"/>
    <w:rsid w:val="00654A2B"/>
    <w:rsid w:val="006632D3"/>
    <w:rsid w:val="006636A0"/>
    <w:rsid w:val="00677F84"/>
    <w:rsid w:val="00680364"/>
    <w:rsid w:val="006815A7"/>
    <w:rsid w:val="006842A3"/>
    <w:rsid w:val="0068518E"/>
    <w:rsid w:val="00685B16"/>
    <w:rsid w:val="006957C9"/>
    <w:rsid w:val="00695AD9"/>
    <w:rsid w:val="00696FA1"/>
    <w:rsid w:val="006A00F3"/>
    <w:rsid w:val="006B1267"/>
    <w:rsid w:val="006B2437"/>
    <w:rsid w:val="006B412F"/>
    <w:rsid w:val="006B4269"/>
    <w:rsid w:val="006B546C"/>
    <w:rsid w:val="006B552C"/>
    <w:rsid w:val="006B70F5"/>
    <w:rsid w:val="006C6A34"/>
    <w:rsid w:val="006D4E91"/>
    <w:rsid w:val="006E1234"/>
    <w:rsid w:val="006E4BEE"/>
    <w:rsid w:val="006E628F"/>
    <w:rsid w:val="006F1E56"/>
    <w:rsid w:val="006F5018"/>
    <w:rsid w:val="006F7D38"/>
    <w:rsid w:val="00700CAA"/>
    <w:rsid w:val="00701F25"/>
    <w:rsid w:val="00706CE7"/>
    <w:rsid w:val="00706E1A"/>
    <w:rsid w:val="00710B29"/>
    <w:rsid w:val="00711A15"/>
    <w:rsid w:val="00713B87"/>
    <w:rsid w:val="00721BCF"/>
    <w:rsid w:val="00731982"/>
    <w:rsid w:val="00733545"/>
    <w:rsid w:val="007371A2"/>
    <w:rsid w:val="00742904"/>
    <w:rsid w:val="007440FE"/>
    <w:rsid w:val="0075784F"/>
    <w:rsid w:val="007609E5"/>
    <w:rsid w:val="00761DC2"/>
    <w:rsid w:val="00770213"/>
    <w:rsid w:val="00771D1C"/>
    <w:rsid w:val="00776A90"/>
    <w:rsid w:val="00780C54"/>
    <w:rsid w:val="00782568"/>
    <w:rsid w:val="00783830"/>
    <w:rsid w:val="00784817"/>
    <w:rsid w:val="007874E2"/>
    <w:rsid w:val="00792178"/>
    <w:rsid w:val="00793FBC"/>
    <w:rsid w:val="00796511"/>
    <w:rsid w:val="007A0DD9"/>
    <w:rsid w:val="007B0701"/>
    <w:rsid w:val="007B1C44"/>
    <w:rsid w:val="007B28B0"/>
    <w:rsid w:val="007B4137"/>
    <w:rsid w:val="007B7482"/>
    <w:rsid w:val="007C04F2"/>
    <w:rsid w:val="007C0C9A"/>
    <w:rsid w:val="007C1BAC"/>
    <w:rsid w:val="007C2E08"/>
    <w:rsid w:val="007C33D2"/>
    <w:rsid w:val="007C55B1"/>
    <w:rsid w:val="007C5A0E"/>
    <w:rsid w:val="007C7710"/>
    <w:rsid w:val="007D071C"/>
    <w:rsid w:val="007D18C3"/>
    <w:rsid w:val="007E4229"/>
    <w:rsid w:val="007E5E33"/>
    <w:rsid w:val="007E5EAA"/>
    <w:rsid w:val="007E643F"/>
    <w:rsid w:val="007F0D67"/>
    <w:rsid w:val="007F6FBE"/>
    <w:rsid w:val="00800265"/>
    <w:rsid w:val="00801AFF"/>
    <w:rsid w:val="0080326D"/>
    <w:rsid w:val="00804E0C"/>
    <w:rsid w:val="0080519C"/>
    <w:rsid w:val="008122C9"/>
    <w:rsid w:val="0081347F"/>
    <w:rsid w:val="00814456"/>
    <w:rsid w:val="0081605A"/>
    <w:rsid w:val="00817A33"/>
    <w:rsid w:val="00820F27"/>
    <w:rsid w:val="00822B79"/>
    <w:rsid w:val="008274AD"/>
    <w:rsid w:val="008301C6"/>
    <w:rsid w:val="00830FE6"/>
    <w:rsid w:val="008325F9"/>
    <w:rsid w:val="00841162"/>
    <w:rsid w:val="00841B3E"/>
    <w:rsid w:val="00842AA1"/>
    <w:rsid w:val="00845C56"/>
    <w:rsid w:val="00846061"/>
    <w:rsid w:val="00853CAA"/>
    <w:rsid w:val="0085525B"/>
    <w:rsid w:val="00861B77"/>
    <w:rsid w:val="00862099"/>
    <w:rsid w:val="00862351"/>
    <w:rsid w:val="00864620"/>
    <w:rsid w:val="008665DC"/>
    <w:rsid w:val="00870B87"/>
    <w:rsid w:val="0087357B"/>
    <w:rsid w:val="00875CA3"/>
    <w:rsid w:val="00876B91"/>
    <w:rsid w:val="00881F3C"/>
    <w:rsid w:val="0088509A"/>
    <w:rsid w:val="00885514"/>
    <w:rsid w:val="00891281"/>
    <w:rsid w:val="008923DC"/>
    <w:rsid w:val="00896C02"/>
    <w:rsid w:val="008A2A7E"/>
    <w:rsid w:val="008A2ADC"/>
    <w:rsid w:val="008A2BC2"/>
    <w:rsid w:val="008A3566"/>
    <w:rsid w:val="008A7B9B"/>
    <w:rsid w:val="008B2B72"/>
    <w:rsid w:val="008B2CED"/>
    <w:rsid w:val="008B4A57"/>
    <w:rsid w:val="008B6F7F"/>
    <w:rsid w:val="008C129F"/>
    <w:rsid w:val="008C2456"/>
    <w:rsid w:val="008C51D5"/>
    <w:rsid w:val="008C664C"/>
    <w:rsid w:val="008C7A93"/>
    <w:rsid w:val="008D0658"/>
    <w:rsid w:val="008D0BE4"/>
    <w:rsid w:val="008D2A10"/>
    <w:rsid w:val="008D2E02"/>
    <w:rsid w:val="008D455F"/>
    <w:rsid w:val="008E3F10"/>
    <w:rsid w:val="008E7279"/>
    <w:rsid w:val="008F3ED0"/>
    <w:rsid w:val="00900F2F"/>
    <w:rsid w:val="00902803"/>
    <w:rsid w:val="00905F34"/>
    <w:rsid w:val="009100B8"/>
    <w:rsid w:val="00914D61"/>
    <w:rsid w:val="0091639A"/>
    <w:rsid w:val="0092142F"/>
    <w:rsid w:val="00922563"/>
    <w:rsid w:val="00922A9F"/>
    <w:rsid w:val="00924670"/>
    <w:rsid w:val="009277F5"/>
    <w:rsid w:val="00932A5B"/>
    <w:rsid w:val="00943C51"/>
    <w:rsid w:val="00944887"/>
    <w:rsid w:val="009511E2"/>
    <w:rsid w:val="00953295"/>
    <w:rsid w:val="0095673D"/>
    <w:rsid w:val="00957CD4"/>
    <w:rsid w:val="00964155"/>
    <w:rsid w:val="00965527"/>
    <w:rsid w:val="00970FCD"/>
    <w:rsid w:val="009736EF"/>
    <w:rsid w:val="00976863"/>
    <w:rsid w:val="00977A7B"/>
    <w:rsid w:val="0098100F"/>
    <w:rsid w:val="00987237"/>
    <w:rsid w:val="009901FF"/>
    <w:rsid w:val="00991B4C"/>
    <w:rsid w:val="00994218"/>
    <w:rsid w:val="00994BCA"/>
    <w:rsid w:val="009A4137"/>
    <w:rsid w:val="009B0C6F"/>
    <w:rsid w:val="009B2492"/>
    <w:rsid w:val="009B4928"/>
    <w:rsid w:val="009B4B87"/>
    <w:rsid w:val="009C1288"/>
    <w:rsid w:val="009C2B19"/>
    <w:rsid w:val="009C532B"/>
    <w:rsid w:val="009C792B"/>
    <w:rsid w:val="009D2B0F"/>
    <w:rsid w:val="009D2C4D"/>
    <w:rsid w:val="009D53F0"/>
    <w:rsid w:val="009D63F5"/>
    <w:rsid w:val="009E0BFE"/>
    <w:rsid w:val="009E23E3"/>
    <w:rsid w:val="009E4C99"/>
    <w:rsid w:val="009E5DDF"/>
    <w:rsid w:val="009F02A5"/>
    <w:rsid w:val="009F3CFB"/>
    <w:rsid w:val="009F4F06"/>
    <w:rsid w:val="009F58D8"/>
    <w:rsid w:val="009F6E99"/>
    <w:rsid w:val="00A0070E"/>
    <w:rsid w:val="00A04301"/>
    <w:rsid w:val="00A11676"/>
    <w:rsid w:val="00A130D5"/>
    <w:rsid w:val="00A217B3"/>
    <w:rsid w:val="00A23553"/>
    <w:rsid w:val="00A23CD5"/>
    <w:rsid w:val="00A266D5"/>
    <w:rsid w:val="00A31853"/>
    <w:rsid w:val="00A35530"/>
    <w:rsid w:val="00A37568"/>
    <w:rsid w:val="00A377FC"/>
    <w:rsid w:val="00A37C16"/>
    <w:rsid w:val="00A4334F"/>
    <w:rsid w:val="00A470B1"/>
    <w:rsid w:val="00A57469"/>
    <w:rsid w:val="00A63908"/>
    <w:rsid w:val="00A63B12"/>
    <w:rsid w:val="00A642EE"/>
    <w:rsid w:val="00A64657"/>
    <w:rsid w:val="00A6656E"/>
    <w:rsid w:val="00A717BF"/>
    <w:rsid w:val="00A74558"/>
    <w:rsid w:val="00A76AEF"/>
    <w:rsid w:val="00A7766C"/>
    <w:rsid w:val="00A91DCD"/>
    <w:rsid w:val="00A92147"/>
    <w:rsid w:val="00A958AE"/>
    <w:rsid w:val="00A96C25"/>
    <w:rsid w:val="00A96F34"/>
    <w:rsid w:val="00A96FC4"/>
    <w:rsid w:val="00A973D3"/>
    <w:rsid w:val="00AA10FC"/>
    <w:rsid w:val="00AA1E9F"/>
    <w:rsid w:val="00AA7561"/>
    <w:rsid w:val="00AB255F"/>
    <w:rsid w:val="00AB7624"/>
    <w:rsid w:val="00AB7FF1"/>
    <w:rsid w:val="00AC0678"/>
    <w:rsid w:val="00AC1D73"/>
    <w:rsid w:val="00AC565C"/>
    <w:rsid w:val="00AC5827"/>
    <w:rsid w:val="00AD12E8"/>
    <w:rsid w:val="00AD4CB7"/>
    <w:rsid w:val="00AD74D3"/>
    <w:rsid w:val="00AE38EA"/>
    <w:rsid w:val="00AE4266"/>
    <w:rsid w:val="00AE786D"/>
    <w:rsid w:val="00AF0564"/>
    <w:rsid w:val="00AF1036"/>
    <w:rsid w:val="00AF2059"/>
    <w:rsid w:val="00AF2102"/>
    <w:rsid w:val="00B01534"/>
    <w:rsid w:val="00B020F8"/>
    <w:rsid w:val="00B13A8F"/>
    <w:rsid w:val="00B145C6"/>
    <w:rsid w:val="00B16FFB"/>
    <w:rsid w:val="00B1761B"/>
    <w:rsid w:val="00B25030"/>
    <w:rsid w:val="00B26B55"/>
    <w:rsid w:val="00B314B0"/>
    <w:rsid w:val="00B357E0"/>
    <w:rsid w:val="00B3712A"/>
    <w:rsid w:val="00B42198"/>
    <w:rsid w:val="00B43DB8"/>
    <w:rsid w:val="00B44D98"/>
    <w:rsid w:val="00B45B32"/>
    <w:rsid w:val="00B51336"/>
    <w:rsid w:val="00B51520"/>
    <w:rsid w:val="00B52C2B"/>
    <w:rsid w:val="00B54207"/>
    <w:rsid w:val="00B5426F"/>
    <w:rsid w:val="00B54B43"/>
    <w:rsid w:val="00B55AC8"/>
    <w:rsid w:val="00B56F87"/>
    <w:rsid w:val="00B57E31"/>
    <w:rsid w:val="00B61577"/>
    <w:rsid w:val="00B63F88"/>
    <w:rsid w:val="00B77DA1"/>
    <w:rsid w:val="00B8411E"/>
    <w:rsid w:val="00B849B4"/>
    <w:rsid w:val="00B90AAA"/>
    <w:rsid w:val="00B92D3F"/>
    <w:rsid w:val="00B9622B"/>
    <w:rsid w:val="00BA78C7"/>
    <w:rsid w:val="00BA7A90"/>
    <w:rsid w:val="00BB215B"/>
    <w:rsid w:val="00BB2B29"/>
    <w:rsid w:val="00BB737E"/>
    <w:rsid w:val="00BC25DE"/>
    <w:rsid w:val="00BC5841"/>
    <w:rsid w:val="00BC7B68"/>
    <w:rsid w:val="00BD0C8F"/>
    <w:rsid w:val="00BD17F1"/>
    <w:rsid w:val="00BD3BC8"/>
    <w:rsid w:val="00BD6892"/>
    <w:rsid w:val="00BE0E17"/>
    <w:rsid w:val="00BE18C2"/>
    <w:rsid w:val="00BE1F8E"/>
    <w:rsid w:val="00BE2428"/>
    <w:rsid w:val="00BE3EA6"/>
    <w:rsid w:val="00BE54F1"/>
    <w:rsid w:val="00BE670E"/>
    <w:rsid w:val="00BE6EF1"/>
    <w:rsid w:val="00BF1A44"/>
    <w:rsid w:val="00BF571B"/>
    <w:rsid w:val="00BF6D59"/>
    <w:rsid w:val="00C060B2"/>
    <w:rsid w:val="00C13145"/>
    <w:rsid w:val="00C13C06"/>
    <w:rsid w:val="00C1708D"/>
    <w:rsid w:val="00C230B4"/>
    <w:rsid w:val="00C23312"/>
    <w:rsid w:val="00C236AF"/>
    <w:rsid w:val="00C24503"/>
    <w:rsid w:val="00C2451B"/>
    <w:rsid w:val="00C2585E"/>
    <w:rsid w:val="00C32E2B"/>
    <w:rsid w:val="00C34F5E"/>
    <w:rsid w:val="00C3605D"/>
    <w:rsid w:val="00C408AA"/>
    <w:rsid w:val="00C40CCC"/>
    <w:rsid w:val="00C40D74"/>
    <w:rsid w:val="00C44D8B"/>
    <w:rsid w:val="00C4674D"/>
    <w:rsid w:val="00C5622B"/>
    <w:rsid w:val="00C67B03"/>
    <w:rsid w:val="00C718C8"/>
    <w:rsid w:val="00C74529"/>
    <w:rsid w:val="00C76AD7"/>
    <w:rsid w:val="00C76C79"/>
    <w:rsid w:val="00C80A62"/>
    <w:rsid w:val="00C8481A"/>
    <w:rsid w:val="00C86D9A"/>
    <w:rsid w:val="00C8718D"/>
    <w:rsid w:val="00C87BEC"/>
    <w:rsid w:val="00C97910"/>
    <w:rsid w:val="00C979E2"/>
    <w:rsid w:val="00C97BE2"/>
    <w:rsid w:val="00CA0F67"/>
    <w:rsid w:val="00CA12DB"/>
    <w:rsid w:val="00CB0757"/>
    <w:rsid w:val="00CB0C36"/>
    <w:rsid w:val="00CB3919"/>
    <w:rsid w:val="00CB5328"/>
    <w:rsid w:val="00CB605B"/>
    <w:rsid w:val="00CB7AB4"/>
    <w:rsid w:val="00CC0A09"/>
    <w:rsid w:val="00CC4277"/>
    <w:rsid w:val="00CC4C0C"/>
    <w:rsid w:val="00CC5DBD"/>
    <w:rsid w:val="00CC6D4C"/>
    <w:rsid w:val="00CD42D2"/>
    <w:rsid w:val="00CD434F"/>
    <w:rsid w:val="00CD6921"/>
    <w:rsid w:val="00CE3570"/>
    <w:rsid w:val="00CE5FC4"/>
    <w:rsid w:val="00CE7C87"/>
    <w:rsid w:val="00CF1AB3"/>
    <w:rsid w:val="00CF660A"/>
    <w:rsid w:val="00D0091A"/>
    <w:rsid w:val="00D06134"/>
    <w:rsid w:val="00D12956"/>
    <w:rsid w:val="00D167DB"/>
    <w:rsid w:val="00D17C06"/>
    <w:rsid w:val="00D21BA3"/>
    <w:rsid w:val="00D22B57"/>
    <w:rsid w:val="00D2425D"/>
    <w:rsid w:val="00D245DF"/>
    <w:rsid w:val="00D3018A"/>
    <w:rsid w:val="00D35366"/>
    <w:rsid w:val="00D442F2"/>
    <w:rsid w:val="00D466AA"/>
    <w:rsid w:val="00D46A3A"/>
    <w:rsid w:val="00D46CA9"/>
    <w:rsid w:val="00D50BF3"/>
    <w:rsid w:val="00D5313F"/>
    <w:rsid w:val="00D54EF2"/>
    <w:rsid w:val="00D56B0F"/>
    <w:rsid w:val="00D57D45"/>
    <w:rsid w:val="00D60985"/>
    <w:rsid w:val="00D60E8E"/>
    <w:rsid w:val="00D63151"/>
    <w:rsid w:val="00D63F84"/>
    <w:rsid w:val="00D67C2E"/>
    <w:rsid w:val="00D803A4"/>
    <w:rsid w:val="00D855A8"/>
    <w:rsid w:val="00D86A13"/>
    <w:rsid w:val="00D91B20"/>
    <w:rsid w:val="00D91BF0"/>
    <w:rsid w:val="00D92649"/>
    <w:rsid w:val="00D94074"/>
    <w:rsid w:val="00D9538F"/>
    <w:rsid w:val="00DA4307"/>
    <w:rsid w:val="00DA49A2"/>
    <w:rsid w:val="00DB6A1F"/>
    <w:rsid w:val="00DC16C0"/>
    <w:rsid w:val="00DC285B"/>
    <w:rsid w:val="00DC3466"/>
    <w:rsid w:val="00DC3F52"/>
    <w:rsid w:val="00DC4530"/>
    <w:rsid w:val="00DC4623"/>
    <w:rsid w:val="00DC4760"/>
    <w:rsid w:val="00DC5E02"/>
    <w:rsid w:val="00DD46BE"/>
    <w:rsid w:val="00DD5160"/>
    <w:rsid w:val="00DD5D82"/>
    <w:rsid w:val="00DE000E"/>
    <w:rsid w:val="00DE0603"/>
    <w:rsid w:val="00DE132A"/>
    <w:rsid w:val="00DE39ED"/>
    <w:rsid w:val="00DE5C8A"/>
    <w:rsid w:val="00DE652E"/>
    <w:rsid w:val="00DE7D2A"/>
    <w:rsid w:val="00DF0B86"/>
    <w:rsid w:val="00DF4F74"/>
    <w:rsid w:val="00DF5FB7"/>
    <w:rsid w:val="00E038A8"/>
    <w:rsid w:val="00E16B2C"/>
    <w:rsid w:val="00E16F04"/>
    <w:rsid w:val="00E1751F"/>
    <w:rsid w:val="00E22AA6"/>
    <w:rsid w:val="00E24F3B"/>
    <w:rsid w:val="00E2692F"/>
    <w:rsid w:val="00E338A1"/>
    <w:rsid w:val="00E33C6C"/>
    <w:rsid w:val="00E33E14"/>
    <w:rsid w:val="00E360AB"/>
    <w:rsid w:val="00E37A6E"/>
    <w:rsid w:val="00E37CEE"/>
    <w:rsid w:val="00E4399B"/>
    <w:rsid w:val="00E46BD1"/>
    <w:rsid w:val="00E4738F"/>
    <w:rsid w:val="00E5313B"/>
    <w:rsid w:val="00E543D9"/>
    <w:rsid w:val="00E613DB"/>
    <w:rsid w:val="00E62B4B"/>
    <w:rsid w:val="00E645BD"/>
    <w:rsid w:val="00E64FDF"/>
    <w:rsid w:val="00E65A87"/>
    <w:rsid w:val="00E73FA2"/>
    <w:rsid w:val="00E83B78"/>
    <w:rsid w:val="00E84BFC"/>
    <w:rsid w:val="00E9099D"/>
    <w:rsid w:val="00E93F4C"/>
    <w:rsid w:val="00E950F3"/>
    <w:rsid w:val="00EA23C3"/>
    <w:rsid w:val="00EB1C2F"/>
    <w:rsid w:val="00EB3093"/>
    <w:rsid w:val="00EC4D6B"/>
    <w:rsid w:val="00EC4D99"/>
    <w:rsid w:val="00EC6F75"/>
    <w:rsid w:val="00ED06E4"/>
    <w:rsid w:val="00ED4E5A"/>
    <w:rsid w:val="00EE0B9B"/>
    <w:rsid w:val="00EE2ADA"/>
    <w:rsid w:val="00EE4763"/>
    <w:rsid w:val="00EF0A4B"/>
    <w:rsid w:val="00EF0B61"/>
    <w:rsid w:val="00EF26C5"/>
    <w:rsid w:val="00F00EC7"/>
    <w:rsid w:val="00F0113C"/>
    <w:rsid w:val="00F0221D"/>
    <w:rsid w:val="00F02A64"/>
    <w:rsid w:val="00F059A5"/>
    <w:rsid w:val="00F10057"/>
    <w:rsid w:val="00F10DB2"/>
    <w:rsid w:val="00F15376"/>
    <w:rsid w:val="00F16556"/>
    <w:rsid w:val="00F167F1"/>
    <w:rsid w:val="00F20A4C"/>
    <w:rsid w:val="00F21C9A"/>
    <w:rsid w:val="00F31850"/>
    <w:rsid w:val="00F342D1"/>
    <w:rsid w:val="00F36898"/>
    <w:rsid w:val="00F3756E"/>
    <w:rsid w:val="00F40832"/>
    <w:rsid w:val="00F43B57"/>
    <w:rsid w:val="00F45202"/>
    <w:rsid w:val="00F47266"/>
    <w:rsid w:val="00F478D5"/>
    <w:rsid w:val="00F500FC"/>
    <w:rsid w:val="00F50F6F"/>
    <w:rsid w:val="00F51C78"/>
    <w:rsid w:val="00F56DEB"/>
    <w:rsid w:val="00F63DF0"/>
    <w:rsid w:val="00F70B67"/>
    <w:rsid w:val="00F71352"/>
    <w:rsid w:val="00F74341"/>
    <w:rsid w:val="00F84772"/>
    <w:rsid w:val="00F8625B"/>
    <w:rsid w:val="00F86376"/>
    <w:rsid w:val="00F874CC"/>
    <w:rsid w:val="00F910B6"/>
    <w:rsid w:val="00F938B6"/>
    <w:rsid w:val="00F961EF"/>
    <w:rsid w:val="00FA0A60"/>
    <w:rsid w:val="00FA2100"/>
    <w:rsid w:val="00FB1240"/>
    <w:rsid w:val="00FC7D93"/>
    <w:rsid w:val="00FD03E1"/>
    <w:rsid w:val="00FD06C4"/>
    <w:rsid w:val="00FD22C8"/>
    <w:rsid w:val="00FD4F8A"/>
    <w:rsid w:val="00FD6596"/>
    <w:rsid w:val="00FE01AF"/>
    <w:rsid w:val="00FE175F"/>
    <w:rsid w:val="00FE1DEB"/>
    <w:rsid w:val="00FE5231"/>
    <w:rsid w:val="00FE5643"/>
    <w:rsid w:val="00FF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6A13"/>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6A1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496070">
      <w:bodyDiv w:val="1"/>
      <w:marLeft w:val="0"/>
      <w:marRight w:val="0"/>
      <w:marTop w:val="0"/>
      <w:marBottom w:val="0"/>
      <w:divBdr>
        <w:top w:val="none" w:sz="0" w:space="0" w:color="auto"/>
        <w:left w:val="none" w:sz="0" w:space="0" w:color="auto"/>
        <w:bottom w:val="none" w:sz="0" w:space="0" w:color="auto"/>
        <w:right w:val="none" w:sz="0" w:space="0" w:color="auto"/>
      </w:divBdr>
      <w:divsChild>
        <w:div w:id="1882207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John Smith</cp:lastModifiedBy>
  <cp:revision>1</cp:revision>
  <dcterms:created xsi:type="dcterms:W3CDTF">2013-02-07T16:54:00Z</dcterms:created>
  <dcterms:modified xsi:type="dcterms:W3CDTF">2013-02-07T16:55:00Z</dcterms:modified>
</cp:coreProperties>
</file>